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20F37E" Type="http://schemas.openxmlformats.org/officeDocument/2006/relationships/officeDocument" Target="/word/document.xml" /><Relationship Id="coreRB20F37E" Type="http://schemas.openxmlformats.org/package/2006/relationships/metadata/core-properties" Target="/docProps/core.xml" /><Relationship Id="customRB20F3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Obchodní zástupce velkoobchodu (kód: 66-016-M)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Obchodní zástupce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Poskytování rad a informací o vlastnostech a způsobu používání prodávaného zboží obchodním partnerům včetně případného předvedení nabízeného zboží či výrobku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6"/>
        <w:keepNext w:val="0"/>
        <w:keepLines w:val="0"/>
        <w:framePr w:w="9826" w:h="376" w:hRule="exact" w:wrap="none" w:vAnchor="page" w:hAnchor="margin" w:x="45" w:y="6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Projednávání a uzavírání objednávek a obchodních smluv s obchodními partnery</w:t>
      </w:r>
    </w:p>
    <w:p>
      <w:pPr>
        <w:pStyle w:val="P17"/>
        <w:framePr w:w="805" w:h="376" w:hRule="exact" w:wrap="none" w:vAnchor="page" w:hAnchor="margin" w:x="9916" w:y="6226"/>
        <w:rPr>
          <w:rStyle w:val="C3"/>
          <w:rtl w:val="0"/>
        </w:rPr>
      </w:pPr>
    </w:p>
    <w:p>
      <w:pPr>
        <w:pStyle w:val="P18"/>
        <w:framePr w:w="723" w:h="249" w:hRule="exact" w:wrap="none" w:vAnchor="page" w:hAnchor="margin" w:x="9972" w:y="6282"/>
        <w:rPr>
          <w:rStyle w:val="C13"/>
          <w:rtl w:val="0"/>
        </w:rPr>
      </w:pPr>
      <w:r>
        <w:rPr>
          <w:rStyle w:val="C13"/>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Projednávání požadavků zákazníků v rámci zákaznického servisu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9"/>
        <w:framePr w:w="9826" w:h="376" w:hRule="exact" w:wrap="none" w:vAnchor="page" w:hAnchor="margin" w:x="45" w:y="6979"/>
        <w:rPr>
          <w:rStyle w:val="C3"/>
          <w:rtl w:val="0"/>
        </w:rPr>
      </w:pPr>
    </w:p>
    <w:p>
      <w:pPr>
        <w:pStyle w:val="P20"/>
        <w:framePr w:w="9774" w:h="249" w:hRule="exact" w:wrap="none" w:vAnchor="page" w:hAnchor="margin" w:x="71" w:y="7035"/>
        <w:rPr>
          <w:rStyle w:val="C14"/>
          <w:rtl w:val="0"/>
        </w:rPr>
      </w:pPr>
      <w:r>
        <w:rPr>
          <w:rStyle w:val="C14"/>
          <w:rtl w:val="0"/>
        </w:rPr>
        <w:t>Provádění prodeje nebo nákupu zboží či výrobků dle požadavků zaměstnavatele</w:t>
      </w:r>
    </w:p>
    <w:p>
      <w:pPr>
        <w:pStyle w:val="P17"/>
        <w:framePr w:w="805" w:h="376" w:hRule="exact" w:wrap="none" w:vAnchor="page" w:hAnchor="margin" w:x="9916" w:y="6979"/>
        <w:rPr>
          <w:rStyle w:val="C3"/>
          <w:rtl w:val="0"/>
        </w:rPr>
      </w:pPr>
    </w:p>
    <w:p>
      <w:pPr>
        <w:pStyle w:val="P18"/>
        <w:framePr w:w="723" w:h="249" w:hRule="exact" w:wrap="none" w:vAnchor="page" w:hAnchor="margin" w:x="9972" w:y="7035"/>
        <w:rPr>
          <w:rStyle w:val="C13"/>
          <w:rtl w:val="0"/>
        </w:rPr>
      </w:pPr>
      <w:r>
        <w:rPr>
          <w:rStyle w:val="C13"/>
          <w:rtl w:val="0"/>
        </w:rPr>
        <w:t>4</w:t>
      </w:r>
    </w:p>
    <w:p>
      <w:pPr>
        <w:pStyle w:val="P21"/>
        <w:framePr w:w="9826" w:h="376" w:hRule="exact" w:wrap="none" w:vAnchor="page" w:hAnchor="margin" w:x="45" w:y="7355"/>
        <w:rPr>
          <w:rStyle w:val="C3"/>
          <w:rtl w:val="0"/>
        </w:rPr>
      </w:pPr>
    </w:p>
    <w:p>
      <w:pPr>
        <w:pStyle w:val="P21"/>
        <w:keepNext w:val="0"/>
        <w:keepLines w:val="0"/>
        <w:framePr w:w="9826" w:h="376" w:hRule="exact" w:wrap="none" w:vAnchor="page" w:hAnchor="margin" w:x="45" w:y="7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Příprava a zpracování podkladů pro reklamační řízení vedené s obchodními partnery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6"/>
        <w:keepNext w:val="0"/>
        <w:keepLines w:val="0"/>
        <w:framePr w:w="9826" w:h="376" w:hRule="exact" w:wrap="none" w:vAnchor="page" w:hAnchor="margin" w:x="45" w:y="7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požadovaných evidencí v rámci obchodního styku s obchodními partnery</w:t>
      </w:r>
    </w:p>
    <w:p>
      <w:pPr>
        <w:pStyle w:val="P17"/>
        <w:framePr w:w="805" w:h="376" w:hRule="exact" w:wrap="none" w:vAnchor="page" w:hAnchor="margin" w:x="9916" w:y="7731"/>
        <w:rPr>
          <w:rStyle w:val="C3"/>
          <w:rtl w:val="0"/>
        </w:rPr>
      </w:pPr>
    </w:p>
    <w:p>
      <w:pPr>
        <w:pStyle w:val="P18"/>
        <w:framePr w:w="723" w:h="249" w:hRule="exact" w:wrap="none" w:vAnchor="page" w:hAnchor="margin" w:x="9972" w:y="7787"/>
        <w:rPr>
          <w:rStyle w:val="C13"/>
          <w:rtl w:val="0"/>
        </w:rPr>
      </w:pPr>
      <w:r>
        <w:rPr>
          <w:rStyle w:val="C13"/>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Zpracovávání a příprava dokladů o spokojenosti zákazníků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9"/>
        <w:framePr w:w="9826" w:h="607" w:hRule="exact" w:wrap="none" w:vAnchor="page" w:hAnchor="margin" w:x="45" w:y="8484"/>
        <w:rPr>
          <w:rStyle w:val="C3"/>
          <w:rtl w:val="0"/>
        </w:rPr>
      </w:pPr>
    </w:p>
    <w:p>
      <w:pPr>
        <w:pStyle w:val="P20"/>
        <w:framePr w:w="9774" w:h="480" w:hRule="exact" w:wrap="none" w:vAnchor="page" w:hAnchor="margin" w:x="71" w:y="8540"/>
        <w:rPr>
          <w:rStyle w:val="C14"/>
          <w:rtl w:val="0"/>
        </w:rPr>
      </w:pPr>
      <w:r>
        <w:rPr>
          <w:rStyle w:val="C14"/>
          <w:rtl w:val="0"/>
        </w:rPr>
        <w:t>Zpracovávání návrhů na docílení vyšší efektivnosti při zásobovací činnosti včetně navrhování nových obchodních partnerů</w:t>
      </w:r>
    </w:p>
    <w:p>
      <w:pPr>
        <w:pStyle w:val="P17"/>
        <w:framePr w:w="805" w:h="607" w:hRule="exact" w:wrap="none" w:vAnchor="page" w:hAnchor="margin" w:x="9916" w:y="8484"/>
        <w:rPr>
          <w:rStyle w:val="C3"/>
          <w:rtl w:val="0"/>
        </w:rPr>
      </w:pPr>
    </w:p>
    <w:p>
      <w:pPr>
        <w:pStyle w:val="P18"/>
        <w:framePr w:w="723" w:h="480" w:hRule="exact" w:wrap="none" w:vAnchor="page" w:hAnchor="margin" w:x="9972" w:y="8540"/>
        <w:rPr>
          <w:rStyle w:val="C13"/>
          <w:rtl w:val="0"/>
        </w:rPr>
      </w:pPr>
      <w:r>
        <w:rPr>
          <w:rStyle w:val="C13"/>
          <w:rtl w:val="0"/>
        </w:rPr>
        <w:t>4</w:t>
      </w:r>
    </w:p>
    <w:p>
      <w:pPr>
        <w:pStyle w:val="P7"/>
        <w:framePr w:w="8788" w:h="340" w:hRule="exact" w:wrap="none" w:vAnchor="page" w:hAnchor="margin" w:x="28" w:y="9317"/>
        <w:rPr>
          <w:rStyle w:val="C8"/>
          <w:rtl w:val="0"/>
        </w:rPr>
      </w:pPr>
      <w:r>
        <w:rPr>
          <w:rStyle w:val="C8"/>
          <w:rtl w:val="0"/>
        </w:rPr>
        <w:t>Platnost standardu</w:t>
      </w:r>
    </w:p>
    <w:p>
      <w:pPr>
        <w:pStyle w:val="P22"/>
        <w:framePr w:w="4283" w:h="248" w:hRule="exact" w:wrap="none" w:vAnchor="page" w:hAnchor="margin" w:x="28" w:y="9658"/>
        <w:rPr>
          <w:rStyle w:val="C15"/>
          <w:rtl w:val="0"/>
        </w:rPr>
      </w:pPr>
      <w:r>
        <w:rPr>
          <w:rStyle w:val="C15"/>
          <w:rtl w:val="0"/>
        </w:rPr>
        <w:t>Standard je platný od: 14.01.2020 do: 20.10.2022</w:t>
      </w:r>
    </w:p>
    <w:p>
      <w:pPr>
        <w:pStyle w:val="P23"/>
        <w:framePr w:w="7654" w:h="331" w:hRule="exact" w:wrap="none" w:vAnchor="page" w:hAnchor="margin" w:x="28" w:y="15940"/>
        <w:rPr>
          <w:rStyle w:val="C16"/>
          <w:rtl w:val="0"/>
        </w:rPr>
      </w:pPr>
      <w:r>
        <w:rPr>
          <w:rStyle w:val="C16"/>
          <w:rtl w:val="0"/>
        </w:rPr>
        <w:t>Obchodní zástupce velkoobchodu, 29.10.2026 0:51:44</w:t>
      </w:r>
    </w:p>
    <w:p>
      <w:pPr>
        <w:pStyle w:val="P24"/>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5"/>
        <w:framePr w:w="10766" w:h="9392" w:hRule="exact" w:wrap="none" w:vAnchor="page" w:hAnchor="margin" w:x="0" w:y="2154"/>
        <w:rPr>
          <w:rStyle w:val="C3"/>
          <w:rtl w:val="0"/>
        </w:rPr>
      </w:pPr>
    </w:p>
    <w:p>
      <w:pPr>
        <w:pStyle w:val="P26"/>
        <w:framePr w:w="10710" w:h="340" w:hRule="exact" w:wrap="none" w:vAnchor="page" w:hAnchor="margin" w:x="28" w:y="2154"/>
        <w:rPr>
          <w:rStyle w:val="C18"/>
          <w:rtl w:val="0"/>
        </w:rPr>
      </w:pPr>
      <w:r>
        <w:rPr>
          <w:rStyle w:val="C18"/>
          <w:rtl w:val="0"/>
        </w:rPr>
        <w:t>Organizační a metodické pokyny</w:t>
      </w:r>
    </w:p>
    <w:p>
      <w:pPr>
        <w:pStyle w:val="P27"/>
        <w:framePr w:w="10710" w:h="340" w:hRule="exact" w:wrap="none" w:vAnchor="page" w:hAnchor="margin" w:x="28" w:y="2494"/>
        <w:rPr>
          <w:rStyle w:val="C19"/>
          <w:rtl w:val="0"/>
        </w:rPr>
      </w:pPr>
      <w:r>
        <w:rPr>
          <w:rStyle w:val="C19"/>
          <w:rtl w:val="0"/>
        </w:rPr>
        <w:t>Pokyny k realizaci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se autorizovaná osoba zaměří na činnosti, které charakterizují danou pracovní pozici. Veškeré činnosti vyplývající z praktického ověření budou probíhat na pracovišti, které bude umožňovat komunikaci jak s dodavatelem zboží (oddělení příjmu), tak i s cílovým zákazníkem (oddělení odbytu). Zde budou činnosti směřované na všechny druhy komunikace (tj. osobní – face to face, telefonická či e-mailová).</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Prioritní odbornou znalostí a dovedností je: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rad a informací o vlastnostech a způsobu používání prodávaného zboží obchodním partnerům včetně případného předvedení nabízeného zboží či výrobku. Veškeré formy prezentace jednotlivých dat či informací budou referovány autorizované osobě, která vyhodnotí úplnost a přesnost sdělených informací na základě zveřejněných dokumentů, které uchazeč dostal před samotnou zkouškou, s cílem ověřit úroveň zbožíznalectví a obchodní nabídku v rámci logistiky.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Důležitým krokem je i zkouška ovládání elektronického objednávkového či skladovacího systému, pomocí kterého může potencionální obchodní zástupce sdělit dostupnost daného zboží na skladě konečnému zákazníkovi, možné časové určení dodání zboží, platební podmínky či přesné uvedení údajů o zboží (tj. technická specifikace, kvalita, objem, země původu, doba dodání, aj.).</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zjištění schopností uchazeče efektivně nabídnout podporovaný výrobek s cílem prodat ho bude zvolen autorizovanou osobou zastupující daný velkoobchodní sklad druh sortimentu.Informace o složení a užitných vlastnostech výrobku budou uchazeči předloženy před zahájením písemné části zkoušky a úkolem uchazeče bude vytvořit a předvést prezentaci (v elektronické či tištěné formě) zaměřenou na zajištění prodeje tohoto výrobku druhé straně.</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Podstatou této zkoušky je zjistit komunikativní schopnost uchazeče, ukázat zvolené asertivní chování a umění jednat s potenciálními zákazníky, popř. flexibilně reagovat na možné otázky týkající se dané problematiky.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tzv. případovou studii přímo z praxe, která vyplývá z bodu c) a d) kompetence: Poskytování rad a informací o vlastnostech a způsobu používání prodávaného zboží obchodním partnerům, včetně případného předvedení nabízeného zboží či výrobku, jeho funkcí i způsobu obsluhy.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Obchodní zástupce velkoobchodu, 29.10.2026 0:51:44</w:t>
      </w:r>
    </w:p>
    <w:p>
      <w:pPr>
        <w:pStyle w:val="P24"/>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9"/>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Obchodní zástupce velkoobchodu, 29.10.2026 0:51:44</w:t>
      </w:r>
    </w:p>
    <w:p>
      <w:pPr>
        <w:pStyle w:val="P24"/>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shd w:val="clear" w:fill="auto"/>
      <w:bidi w:val="0"/>
      <w:jc w:val="left"/>
    </w:pPr>
  </w:style>
  <w:style w:type="paragraph" w:styleId="P26">
    <w:name w:val="ParagraphStyle25"/>
    <w:hidden/>
    <w:pPr>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paragraph" w:styleId="P29">
    <w:name w:val="ParagraphStyle28"/>
    <w:hidden/>
    <w:pPr>
      <w:bidi w:val="0"/>
      <w:jc w:val="left"/>
    </w:pPr>
  </w:style>
  <w:style w:type="paragraph" w:styleId="P30">
    <w:name w:val="ParagraphStyle2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