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C8458" Type="http://schemas.openxmlformats.org/officeDocument/2006/relationships/officeDocument" Target="/word/document.xml" /><Relationship Id="coreR2ADC8458" Type="http://schemas.openxmlformats.org/package/2006/relationships/metadata/core-properties" Target="/docProps/core.xml" /><Relationship Id="customR2ADC84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životního a pracovního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ekologie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Orientace v právních předpisech pro integrovanou prevenci (IPPC), posuzování vlivů (EIA – Environment Impact Assesment, SEA), přenos znečištění (IRZ – Integrovaný registr znečišťování)</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životního a pracovního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a pracovním prostředí,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 odběru půdních vzorků v půdách kontaminovaných průmyslovými aktivitami a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standardizované postupy při stanovení požadovaných ukazatelů v analytické laboratoři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Pracovat se základními normami ČSN EN zabývajícími se analýzou odebraných vzorků z jednotlivých složek životního prostředí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547" w:hRule="exact" w:wrap="none" w:vAnchor="page" w:hAnchor="margin" w:x="28" w:y="786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607" w:hRule="exact" w:wrap="none" w:vAnchor="page" w:hAnchor="margin" w:x="45" w:y="8891"/>
        <w:rPr>
          <w:rStyle w:val="C3"/>
          <w:rtl w:val="0"/>
        </w:rPr>
      </w:pPr>
    </w:p>
    <w:p>
      <w:pPr>
        <w:pStyle w:val="P13"/>
        <w:framePr w:w="6658" w:h="480" w:hRule="exact" w:wrap="none" w:vAnchor="page" w:hAnchor="margin" w:x="71" w:y="8947"/>
        <w:rPr>
          <w:rStyle w:val="C11"/>
          <w:rtl w:val="0"/>
        </w:rPr>
      </w:pPr>
      <w:r>
        <w:rPr>
          <w:rStyle w:val="C11"/>
          <w:rtl w:val="0"/>
        </w:rPr>
        <w:t>a) Navrhnout způsob monitoringu a měření klíčových technologických postupů a procesů z hlediska negativních dopadů na životní prostředí</w:t>
      </w:r>
    </w:p>
    <w:p>
      <w:pPr>
        <w:pStyle w:val="P28"/>
        <w:framePr w:w="3921" w:h="607" w:hRule="exact" w:wrap="none" w:vAnchor="page" w:hAnchor="margin" w:x="6800" w:y="8891"/>
        <w:rPr>
          <w:rStyle w:val="C3"/>
          <w:rtl w:val="0"/>
        </w:rPr>
      </w:pPr>
    </w:p>
    <w:p>
      <w:pPr>
        <w:pStyle w:val="P29"/>
        <w:framePr w:w="3839" w:h="480"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498"/>
        <w:rPr>
          <w:rStyle w:val="C3"/>
          <w:rtl w:val="0"/>
        </w:rPr>
      </w:pPr>
    </w:p>
    <w:p>
      <w:pPr>
        <w:pStyle w:val="P17"/>
        <w:framePr w:w="6658" w:h="480" w:hRule="exact" w:wrap="none" w:vAnchor="page" w:hAnchor="margin" w:x="71" w:y="9554"/>
        <w:rPr>
          <w:rStyle w:val="C13"/>
          <w:rtl w:val="0"/>
        </w:rPr>
      </w:pPr>
      <w:r>
        <w:rPr>
          <w:rStyle w:val="C13"/>
          <w:rtl w:val="0"/>
        </w:rPr>
        <w:t>b) Popsat nejlepší dostupnou technologii the Best Available Technology (BAT) a uvést příslušnou legislativu</w:t>
      </w:r>
    </w:p>
    <w:p>
      <w:pPr>
        <w:pStyle w:val="P30"/>
        <w:framePr w:w="3921" w:h="607" w:hRule="exact" w:wrap="none" w:vAnchor="page" w:hAnchor="margin" w:x="6800" w:y="9498"/>
        <w:rPr>
          <w:rStyle w:val="C3"/>
          <w:rtl w:val="0"/>
        </w:rPr>
      </w:pPr>
    </w:p>
    <w:p>
      <w:pPr>
        <w:pStyle w:val="P31"/>
        <w:framePr w:w="3839" w:h="480" w:hRule="exact" w:wrap="none" w:vAnchor="page" w:hAnchor="margin" w:x="6856" w:y="9554"/>
        <w:rPr>
          <w:rStyle w:val="C22"/>
          <w:rtl w:val="0"/>
        </w:rPr>
      </w:pPr>
      <w:r>
        <w:rPr>
          <w:rStyle w:val="C22"/>
          <w:rtl w:val="0"/>
        </w:rPr>
        <w:t>Ústní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c) Navrhnout koncepci hodnoticí zprávy vycházející z údajů zjištěných monitoringem a měřením klíčových technologických postupů a procesů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32"/>
        <w:framePr w:w="10710" w:h="248" w:hRule="exact" w:wrap="none" w:vAnchor="page" w:hAnchor="margin" w:x="28" w:y="10825"/>
        <w:rPr>
          <w:rStyle w:val="C23"/>
          <w:rtl w:val="0"/>
        </w:rPr>
      </w:pPr>
      <w:r>
        <w:rPr>
          <w:rStyle w:val="C23"/>
          <w:rtl w:val="0"/>
        </w:rPr>
        <w:t>Je třeba splnit všechna kritéria.</w:t>
      </w:r>
    </w:p>
    <w:p>
      <w:pPr>
        <w:pStyle w:val="P23"/>
        <w:framePr w:w="10710" w:h="340" w:hRule="exact" w:wrap="none" w:vAnchor="page" w:hAnchor="margin" w:x="28" w:y="11261"/>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700"/>
        <w:rPr>
          <w:rStyle w:val="C3"/>
          <w:rtl w:val="0"/>
        </w:rPr>
      </w:pPr>
    </w:p>
    <w:p>
      <w:pPr>
        <w:pStyle w:val="P25"/>
        <w:framePr w:w="6661" w:h="249" w:hRule="exact" w:wrap="none" w:vAnchor="page" w:hAnchor="margin" w:x="71" w:y="11771"/>
        <w:rPr>
          <w:rStyle w:val="C19"/>
          <w:rtl w:val="0"/>
        </w:rPr>
      </w:pPr>
      <w:r>
        <w:rPr>
          <w:rStyle w:val="C19"/>
          <w:rtl w:val="0"/>
        </w:rPr>
        <w:t>Kritéria hodnocení</w:t>
      </w:r>
    </w:p>
    <w:p>
      <w:pPr>
        <w:pStyle w:val="P26"/>
        <w:framePr w:w="3918" w:h="376" w:hRule="exact" w:wrap="none" w:vAnchor="page" w:hAnchor="margin" w:x="6803" w:y="11700"/>
        <w:rPr>
          <w:rStyle w:val="C3"/>
          <w:rtl w:val="0"/>
        </w:rPr>
      </w:pPr>
    </w:p>
    <w:p>
      <w:pPr>
        <w:pStyle w:val="P27"/>
        <w:framePr w:w="3836" w:h="249" w:hRule="exact" w:wrap="none" w:vAnchor="page" w:hAnchor="margin" w:x="6859" w:y="11771"/>
        <w:rPr>
          <w:rStyle w:val="C20"/>
          <w:rtl w:val="0"/>
        </w:rPr>
      </w:pPr>
      <w:r>
        <w:rPr>
          <w:rStyle w:val="C20"/>
          <w:rtl w:val="0"/>
        </w:rPr>
        <w:t>Způsoby ověření</w:t>
      </w:r>
    </w:p>
    <w:p>
      <w:pPr>
        <w:pStyle w:val="P12"/>
        <w:framePr w:w="6710" w:h="831" w:hRule="exact" w:wrap="none" w:vAnchor="page" w:hAnchor="margin" w:x="45" w:y="12076"/>
        <w:rPr>
          <w:rStyle w:val="C3"/>
          <w:rtl w:val="0"/>
        </w:rPr>
      </w:pPr>
    </w:p>
    <w:p>
      <w:pPr>
        <w:pStyle w:val="P13"/>
        <w:framePr w:w="6658" w:h="704" w:hRule="exact" w:wrap="none" w:vAnchor="page" w:hAnchor="margin" w:x="71" w:y="12132"/>
        <w:rPr>
          <w:rStyle w:val="C11"/>
          <w:rtl w:val="0"/>
        </w:rPr>
      </w:pPr>
      <w:r>
        <w:rPr>
          <w:rStyle w:val="C11"/>
          <w:rtl w:val="0"/>
        </w:rPr>
        <w:t>a) Prokázat znalost zákona o chemických látkách a chemických směsích a o změně některých zákonů (chemický zákon) a zákona o odpadech a o změně některých zákonů</w:t>
      </w:r>
    </w:p>
    <w:p>
      <w:pPr>
        <w:pStyle w:val="P28"/>
        <w:framePr w:w="3921" w:h="831" w:hRule="exact" w:wrap="none" w:vAnchor="page" w:hAnchor="margin" w:x="6800" w:y="12076"/>
        <w:rPr>
          <w:rStyle w:val="C3"/>
          <w:rtl w:val="0"/>
        </w:rPr>
      </w:pPr>
    </w:p>
    <w:p>
      <w:pPr>
        <w:pStyle w:val="P29"/>
        <w:framePr w:w="3839" w:h="704" w:hRule="exact" w:wrap="none" w:vAnchor="page" w:hAnchor="margin" w:x="6856" w:y="12132"/>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Vysvětlit pojmy REACH, CLP</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a písemné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Ústní a písemné ověření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d) Popsat hlavní zásady pro poskytování první pomoci při expozici chemickými látkami a modelově poskytnout první pomoc</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požadavky kladené na systém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Specifikovat právní požadavky na realizaci a provoz čistíren odpadních vod (ČOV), skládek a spaloven odpadů v souladu s právními předpisy ochrany životního prostředí</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Popsat technologii a zařízení pro spalování odpadů</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Ústní a písemné ověření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Popsat provoz skládek, monitoring, uzavírání, rekultivaci a sanaci skládek</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Ústní a písemné ověření</w:t>
      </w:r>
    </w:p>
    <w:p>
      <w:pPr>
        <w:pStyle w:val="P16"/>
        <w:framePr w:w="6710" w:h="376" w:hRule="exact" w:wrap="none" w:vAnchor="page" w:hAnchor="margin" w:x="45" w:y="7563"/>
        <w:rPr>
          <w:rStyle w:val="C3"/>
          <w:rtl w:val="0"/>
        </w:rPr>
      </w:pPr>
    </w:p>
    <w:p>
      <w:pPr>
        <w:pStyle w:val="P17"/>
        <w:framePr w:w="6658" w:h="249" w:hRule="exact" w:wrap="none" w:vAnchor="page" w:hAnchor="margin" w:x="71" w:y="7619"/>
        <w:rPr>
          <w:rStyle w:val="C13"/>
          <w:rtl w:val="0"/>
        </w:rPr>
      </w:pPr>
      <w:r>
        <w:rPr>
          <w:rStyle w:val="C13"/>
          <w:rtl w:val="0"/>
        </w:rPr>
        <w:t>d) Vysvětlit specifika čištění odpadních vod průmyslových a komunálních</w:t>
      </w:r>
    </w:p>
    <w:p>
      <w:pPr>
        <w:pStyle w:val="P30"/>
        <w:framePr w:w="3921" w:h="376" w:hRule="exact" w:wrap="none" w:vAnchor="page" w:hAnchor="margin" w:x="6800" w:y="7563"/>
        <w:rPr>
          <w:rStyle w:val="C3"/>
          <w:rtl w:val="0"/>
        </w:rPr>
      </w:pPr>
    </w:p>
    <w:p>
      <w:pPr>
        <w:pStyle w:val="P31"/>
        <w:framePr w:w="3839" w:h="249" w:hRule="exact" w:wrap="none" w:vAnchor="page" w:hAnchor="margin" w:x="6856" w:y="7619"/>
        <w:rPr>
          <w:rStyle w:val="C22"/>
          <w:rtl w:val="0"/>
        </w:rPr>
      </w:pPr>
      <w:r>
        <w:rPr>
          <w:rStyle w:val="C22"/>
          <w:rtl w:val="0"/>
        </w:rPr>
        <w:t>Ústní a písemné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Orientace v právních předpisech v oblasti ekologie</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Používat základní terminologii legislativy životního prostředí a prokázat všeobecný přehled jednotlivých zákonů týkajících se životního prostředí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Využívat informační zdroje v oblasti legislativy životního prostředí (webové stránky, úplná znění zákonů atd.)</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Měření fyzikálně-chemických veličin</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Vysvětlit metodu a provést měření teploty (normy, kalibrace, typy teploměrů atd.)</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Vysvětlit metodu a provést měření tepla, kalorimetrie</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Vysvětlit metodu a provést měření objemu (hustoty)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Vysvětlit metodu a provést stanovení vybraného ukazatele znečištění v odpadní vodě</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požadavky kladené na systém managementu bezpečnosti a ochrany zdraví při práci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identifikaci rizik pro ochranu zdraví a bezpečnosti práce a právních požadavků ve společnosti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Navrhnout identifikaci environmentálních aspektů a právních požadavků ve společnosti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Orientace v právních předpisech pro integrovanou prevenci (IPPC), posuzování vlivů (EIA – Environment Impact Assesment, SEA), přenos znečištění (IRZ – Integrovaný registr znečišťování)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požadavky Integrovaného systému plnění ohlašovacích povinností (ISPOP)</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Ústní a písemné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Vysvětlit předpoklady pro vznik ohlašovací povinnosti dle IRZ</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Ústní ověření</w:t>
      </w:r>
    </w:p>
    <w:p>
      <w:pPr>
        <w:pStyle w:val="P12"/>
        <w:framePr w:w="6710" w:h="376" w:hRule="exact" w:wrap="none" w:vAnchor="page" w:hAnchor="margin" w:x="45" w:y="7777"/>
        <w:rPr>
          <w:rStyle w:val="C3"/>
          <w:rtl w:val="0"/>
        </w:rPr>
      </w:pPr>
    </w:p>
    <w:p>
      <w:pPr>
        <w:pStyle w:val="P13"/>
        <w:framePr w:w="6658" w:h="249" w:hRule="exact" w:wrap="none" w:vAnchor="page" w:hAnchor="margin" w:x="71" w:y="7833"/>
        <w:rPr>
          <w:rStyle w:val="C11"/>
          <w:rtl w:val="0"/>
        </w:rPr>
      </w:pPr>
      <w:r>
        <w:rPr>
          <w:rStyle w:val="C11"/>
          <w:rtl w:val="0"/>
        </w:rPr>
        <w:t>c) Popsat proces posuzování EIA</w:t>
      </w:r>
    </w:p>
    <w:p>
      <w:pPr>
        <w:pStyle w:val="P28"/>
        <w:framePr w:w="3921" w:h="376" w:hRule="exact" w:wrap="none" w:vAnchor="page" w:hAnchor="margin" w:x="6800" w:y="7777"/>
        <w:rPr>
          <w:rStyle w:val="C3"/>
          <w:rtl w:val="0"/>
        </w:rPr>
      </w:pPr>
    </w:p>
    <w:p>
      <w:pPr>
        <w:pStyle w:val="P29"/>
        <w:framePr w:w="3839" w:h="249" w:hRule="exact" w:wrap="none" w:vAnchor="page" w:hAnchor="margin" w:x="6856" w:y="7833"/>
        <w:rPr>
          <w:rStyle w:val="C21"/>
          <w:rtl w:val="0"/>
        </w:rPr>
      </w:pPr>
      <w:r>
        <w:rPr>
          <w:rStyle w:val="C21"/>
          <w:rtl w:val="0"/>
        </w:rPr>
        <w:t>Ústní a písemné ověření</w:t>
      </w:r>
    </w:p>
    <w:p>
      <w:pPr>
        <w:pStyle w:val="P32"/>
        <w:framePr w:w="10710" w:h="248" w:hRule="exact" w:wrap="none" w:vAnchor="page" w:hAnchor="margin" w:x="28" w:y="8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schopnosti práce s chemickou legislativou a dalšími normami,</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technickou dokumentací,</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zpracování a evidenci příslušné dokumentace,</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•realizaci a validaci jednotlivých metod a postupů.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pStyle w:val="P33"/>
        <w:framePr w:w="10766" w:h="1837"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49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Počet zkoušejících</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životního prostředí,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laboratorní prostory a přísun potřebné energie, </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jsou nutné příslušné chemické látky a vybavení potřebné k provedení zadaných úkolů.</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laboratoří patří: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plynu,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vody a elektřiny,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•digestoř,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výrobu destilované vody,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•pece,</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vzduchotechnika.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•kapalinový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•atomový absorpční spektrometr,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•spektrofotometry,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 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•refraktometry,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•konduktometry,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(detekční trubičky, detektory hořlavých plynů, toxických plynů atd.),</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•analyzátory,</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•biologické termostaty,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•lednice,</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•třepačky,</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•homogenizátory,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•odstředivky,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•autoklávy.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vzorků v terénu popř. provozu</w:t>
      </w:r>
    </w:p>
    <w:p>
      <w:pPr>
        <w:keepNext w:val="0"/>
        <w:keepLines w:val="1"/>
        <w:framePr w:w="10766" w:h="13214"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odběrová aparatura</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norem vztahujících se k odběru vzorků, monitoringu, úpravě vzorků před analýzou a vlastní analýza</w:t>
      </w:r>
    </w:p>
    <w:p>
      <w:pPr>
        <w:keepNext w:val="0"/>
        <w:keepLines w:val="1"/>
        <w:framePr w:w="10766" w:h="13214"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a různé standardní metody (USA, EPA, ASTM, které lze považovat za referenční)</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8F0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12E9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505C1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2DB4A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4FDF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00F05F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482346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BE34D6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E9C105F"/>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