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4A96A5" Type="http://schemas.openxmlformats.org/officeDocument/2006/relationships/officeDocument" Target="/word/document.xml" /><Relationship Id="coreR174A96A5" Type="http://schemas.openxmlformats.org/package/2006/relationships/metadata/core-properties" Target="/docProps/core.xml" /><Relationship Id="customR174A96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technolog (kód: 21-031-M)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hutní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technických zkoušek v hutní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technické dokumentace hutní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druhů polotovarů a materiálů pro hutní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Interpretace systémů a standardů kvality v hutní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ekonomice hutní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Používání automatizovaných systémů řízení (ASŘ) hutní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28.01.2014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http://katalog.nsp.cz/karta_p.aspx?id_jp=5159&amp;kod_sm1=36).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kompetencí, které podle tohoto hodnoticího standardu při ověřování umožňují ověření v provozním či simulovaném prostředí, zkoušející sdělí a nejpozději spolu s pozvánkou zašle uchazeči informaci, zda zkouška proběhne v provozním či simulovaném prostředí, a dále jaké aspekty budou sledovány při výkonu činností a při nakládání s materiálem.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 Ostrava,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technolog,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