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00DBE" Type="http://schemas.openxmlformats.org/officeDocument/2006/relationships/officeDocument" Target="/word/document.xml" /><Relationship Id="coreR3000DBE" Type="http://schemas.openxmlformats.org/package/2006/relationships/metadata/core-properties" Target="/docProps/core.xml" /><Relationship Id="customR3000D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mistr (kód: 21-029-M)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postupech v hutní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hutní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technologického úseku hutní výroby a vazeb výrobních činností v hutní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dokumentace hutní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Řešení organizačních a provozních problémů v hutní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Praktická orientace v materiálech a surovinách pro hutní výrobu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Interpretace systémů a standardů kvality v hutní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Základní orientace v ekonomice hutní výroby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28.01.2014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mistr, 27.10.2026 2:46:50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http://katalog.nsp.cz/karta_p.aspx?id_jp=5159&amp;kod_sm1=36).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zkoušku musí předložit výuční list v oboru hutník, nebo doklad o získání ÚPK hutník, nebo ÚPK Hutník tvářeč.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podle tohoto hodnoticího standardu při ověřování umožňují ověření v provozním či simulovaném prostředí, zkoušející sdělí a nejpozději spolu s pozvánkou zašle uchazeči informaci, zda zkouška proběhne v provozním či simulovaném prostředí, a dále jaké aspekty budou sledovány při výkonu činností a při nakládání s materiálem.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mistr, 27.10.2026 2:46:50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 Ostrava,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mistr, 27.10.2026 2:46:50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