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D1B3D" Type="http://schemas.openxmlformats.org/officeDocument/2006/relationships/officeDocument" Target="/word/document.xml" /><Relationship Id="coreR3EFD1B3D" Type="http://schemas.openxmlformats.org/package/2006/relationships/metadata/core-properties" Target="/docProps/core.xml" /><Relationship Id="customR3EFD1B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recyklaci odpadů a druhotných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základního třídění odpadů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ručního nářadí a technických prostředků k třídění a manipulaci s odpady a druhotnými surovinami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odborné katalogy, firemní materiály apod.).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dovednost uchazeče využívat návody a předpisy v reálných podmínkách, a to z hlediska bezpečnosti práce, kvality roztřídění druhotných surovin a nakládání s nebezpečnými odpady.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směsi odpadů pro účel roztřídění bude uchazeč vycházet z informace zkoušejícího, jak je vzorek deklarován a jaké odpady obsahuje; jeho úkolem je podle tvaru a barvy odpadu rozlišit druhy (u šedě zbarvených kovů a výrobků z plastů může uchazeč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odpadů, součástek a materiálů, snímků plastových lahví, označení materiálu pro účely recyklace) a svůj postup zdůvodní. Pro tuto činnost uchazeč použije předepsané osobní ochranné pracovní prostředky, sám vybere vhodné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autorizované osoby. Pro tuto činnost použije předepsané osobní ochranné pracovní prostředky a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ověření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zvoleného postupu či řešení.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