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41948" Type="http://schemas.openxmlformats.org/officeDocument/2006/relationships/officeDocument" Target="/word/document.xml" /><Relationship Id="coreR10741948" Type="http://schemas.openxmlformats.org/package/2006/relationships/metadata/core-properties" Target="/docProps/core.xml" /><Relationship Id="customR107419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recyklaci odpadů a druhotných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základního třídění odpadů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ručního nářadí a technických prostředků k třídění a manipulaci s odpady a druhotnými surovinami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odborné katalogy, firemní materiály apod.).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dovednost uchazeče využívat návody a předpisy v reálných podmínkách, a to z hlediska bezpečnosti práce, kvality roztřídění druhotných surovin a nakládání s nebezpečnými odpady.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směsi odpadů pro účel roztřídění bude uchazeč vycházet z informace zkoušejícího, jak je vzorek deklarován a jaké odpady obsahuje; jeho úkolem je podle tvaru a barvy odpadu rozlišit druhy (u šedě zbarvených kovů a výrobků z plastů může uchazeč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odpadů, součástek a materiálů, snímků plastových lahví, označení materiálu pro účely recyklace) a svůj postup zdůvodní. Pro tuto činnost uchazeč použije předepsané osobní ochranné pracovní prostředky, sám vybere vhodné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autorizované osoby. Pro tuto činnost použije předepsané osobní ochranné pracovní prostředky a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ověření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zvoleného postupu či řešení.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