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BBA7E" Type="http://schemas.openxmlformats.org/officeDocument/2006/relationships/officeDocument" Target="/word/document.xml" /><Relationship Id="coreR18FBBA7E" Type="http://schemas.openxmlformats.org/package/2006/relationships/metadata/core-properties" Target="/docProps/core.xml" /><Relationship Id="customR18FBB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(rýčem, hydrovrtem, úprava sazenice pro výsadbu sazečem)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(výsev, mulčování, sečení, válcování) a zdůvodnit význam jednotlivých činností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a) Provést ošetření keřů révy vinné ve vinici (např. zastrkávání letorostů do dvojdrátí, odstranění fazochů, osečkování letorostů) a zdůvodnit potřebu jednotlivých pěstitelských zásahů</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vinice pevnými a kapalnými průmyslovými hnojivy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organickými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ochranných prostředků proti chorobám a škůdcům révy vinné</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Připravit ochranný postřik v požadované koncentraci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postřik révy vinné proti chorobám a škůdcům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Řízení a obsluha traktorů a jiné mechanizace</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Zapojit kultivátor za traktor a kultivovat meziřadí vinice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32"/>
        <w:framePr w:w="10710" w:h="248" w:hRule="exact" w:wrap="none" w:vAnchor="page" w:hAnchor="margin" w:x="28" w:y="9053"/>
        <w:rPr>
          <w:rStyle w:val="C23"/>
          <w:rtl w:val="0"/>
        </w:rPr>
      </w:pPr>
      <w:r>
        <w:rPr>
          <w:rStyle w:val="C23"/>
          <w:rtl w:val="0"/>
        </w:rPr>
        <w:t>Je třeba splnit toto kritérium.</w:t>
      </w:r>
    </w:p>
    <w:p>
      <w:pPr>
        <w:pStyle w:val="P23"/>
        <w:framePr w:w="10710" w:h="340" w:hRule="exact" w:wrap="none" w:vAnchor="page" w:hAnchor="margin" w:x="28" w:y="9488"/>
        <w:rPr>
          <w:rStyle w:val="C18"/>
          <w:rtl w:val="0"/>
        </w:rPr>
      </w:pPr>
      <w:r>
        <w:rPr>
          <w:rStyle w:val="C18"/>
          <w:rtl w:val="0"/>
        </w:rPr>
        <w:t>Sklizeň hroznů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Příjem hroznů, jejich zpracování, lisování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Převzít hrozny ve zpracovatelském závodě</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povolené úpravy moštu před kvašením</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 stáčení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a prakticky předvést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a 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http://katalog.nsp.cz/karta_p.aspx?id_jp=1&amp;kod_sm1=26).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řídicích činnostech v oblasti vinohradnictví nebo vinařství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řídicích činnostech v oblasti vinohradnictví nebo vinařství nebo ve funkci učitele odborných předmětů nebo odborného výcviku,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vinohradník-vinař a střední vzdělání s maturitní zkouškou a 8 let odborné praxe v oblasti vinohradnictví nebo vinařství,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Velké Bílovice</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Vinselekt Michlovský, a. s. </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952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84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5A81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