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FE114" Type="http://schemas.openxmlformats.org/officeDocument/2006/relationships/officeDocument" Target="/word/document.xml" /><Relationship Id="coreREDFE114" Type="http://schemas.openxmlformats.org/package/2006/relationships/metadata/core-properties" Target="/docProps/core.xml" /><Relationship Id="customREDFE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13.6.2026 11:50:42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DAD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2428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56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5726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BBDC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8B33A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