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FFF5D9" Type="http://schemas.openxmlformats.org/officeDocument/2006/relationships/officeDocument" Target="/word/document.xml" /><Relationship Id="coreR5FFFF5D9" Type="http://schemas.openxmlformats.org/package/2006/relationships/metadata/core-properties" Target="/docProps/core.xml" /><Relationship Id="customR5FFFF5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jedno a vícebarvových digitálních produkčních tiskových strojů (kód: 34-033-H)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inkoustů či tonerů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Příprava a seřízení jedno a vícebarvových digitálních produkčních tiskových strojů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jedno a vícebarvových digitálních produkčních tiskových strojích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Dokončení tisku, předání zakázky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Kontrola, údržba a čištění jedno a vícebarvových digitálních produkčních tiskových strojů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vykonávání pracovních činností této profesní kvalifikace je vyžadována a prokazuje se lékařským potvrzením s ohledem na 2. stupeň zátěže (odkaz na povolání v NSP – https://www.nsp.cz/jednotka-prace/operator-jedno-a-vicebarv#zdravotni-zpusobilost),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 Praha 1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Dataline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 - Sprint servis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Svoboda Press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