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AD717A" Type="http://schemas.openxmlformats.org/officeDocument/2006/relationships/officeDocument" Target="/word/document.xml" /><Relationship Id="coreR32AD717A" Type="http://schemas.openxmlformats.org/package/2006/relationships/metadata/core-properties" Target="/docProps/core.xml" /><Relationship Id="customR32AD717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jedno- a vícebarvových digitálních produkčních tiskových strojů (kód: 34-033-H)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jedno a vícebarvových digitálních produkčních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jedno a vícebarvových digitálních produkčních tiskových strojích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materiálu, inkoustů či tonerů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Příprava a seřízení jedno a vícebarvových digitálních produkčních tiskových strojů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jedno a vícebarvových digitálních produkčních tiskových strojích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Dokončení tisku, předání zakázky na jedno a vícebarvových digitálních produkčních tiskových strojích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Kontrola, údržba a čištění jedno a vícebarvových digitálních produkčních tiskových strojů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jedno- a vícebarvových digitálních produkčních tiskových strojů, 11.9.2026 17:51:24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vykonávání pracovních činností této profesní kvalifikace je vyžadována a prokazuje se lékařským potvrzením s ohledem na 2. stupeň zátěže (odkaz na povolání v NSP – https://www.nsp.cz/jednotka-prace/operator-jedno-a-vicebarv#zdravotni-zpusobilost),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jedno- a vícebarvových digitálních produkčních tiskových strojů, 11.9.2026 17:51:24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Mediacore,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 Praha 1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Dataline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 - Sprint servis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Svoboda Press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jedno- a vícebarvových digitálních produkčních tiskových strojů, 11.9.2026 17:51:24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